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highlight w:val="none"/>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2.412/2026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90.055/2026</w:t>
      </w:r>
      <w:r>
        <w:rPr>
          <w:rFonts w:ascii="Arial" w:hAnsi="Arial" w:cs="Arial"/>
          <w:sz w:val="22"/>
          <w:szCs w:val="22"/>
          <w:highlight w:val="none"/>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lang w:val="pt-BR" w:eastAsia="pt-BR"/>
        </w:rPr>
        <w:t>AQUISIÇÃO</w:t>
      </w:r>
      <w:bookmarkStart w:id="15" w:name="_GoBack"/>
      <w:bookmarkEnd w:id="15"/>
      <w:r>
        <w:rPr>
          <w:rFonts w:ascii="Arial" w:hAnsi="Arial" w:cs="Arial"/>
          <w:b/>
          <w:bCs w:val="0"/>
          <w:iCs/>
          <w:lang w:val="pt-BR" w:eastAsia="pt-BR"/>
        </w:rPr>
        <w:t xml:space="preserve"> DE DIÓXIDO DE CARBONO MEDICINAL (CO₂), PARA ATENDIMENTO DAS NECESSIDADES DO HOSPITAL MUNICIPAL RAUL SERTÃ,</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EXECUÇÃO CONTRATUAL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prazo de entrega do objeto é de no máximo 15 (quinze) dias úteis, contados a partir do recebimento da nota de empenho, sob demanda, conforme conveniência e necessidade 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Contratada deverá proceder com a entrega do objeto no local e horário mencionados abaixo: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3.1.3.1. </w:t>
      </w:r>
      <w:r>
        <w:rPr>
          <w:rFonts w:hint="default" w:ascii="Arial" w:hAnsi="Arial" w:cs="Arial"/>
          <w:b/>
          <w:bCs w:val="0"/>
          <w:iCs/>
          <w:lang w:val="pt-BR"/>
        </w:rPr>
        <w:t xml:space="preserve">Hospital Municipal Raul Sertã: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Rua General Osório, 324 – Centro – Nova Friburgo/RJ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De segunda-feira a sexta-feira, no horário de 09:00h às 16:00h;</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materiais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materiais poderão ser rejeitados, no todo ou em parte, quando em desacordo com as especificações constantes no Termo de Referência e na proposta, devendo ser substituídos no prazo de 3 (três) dias úteis,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materiais serão recebidos definitivamente no prazo de 2 (dois) dias úteis,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Não cabe para o objeto do presente, prazo de garantia contratual dos bens, complementar à garantia legal.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GESTÃO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5%252525252525252525252525252525252"/>
      <w:bookmarkEnd w:id="3"/>
      <w:bookmarkStart w:id="4" w:name="art115%252525252525252525252525252525251"/>
      <w:bookmarkEnd w:id="4"/>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7%252525252525252525252525252525252"/>
      <w:bookmarkEnd w:id="5"/>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20"/>
      <w:bookmarkEnd w:id="6"/>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1%252525252525252525252525252525252"/>
      <w:bookmarkEnd w:id="7"/>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2%252525252525252525252525252525252"/>
      <w:bookmarkEnd w:id="8"/>
      <w:bookmarkStart w:id="9" w:name="art122%252525252525252525252525252525251"/>
      <w:bookmarkEnd w:id="9"/>
      <w:bookmarkStart w:id="10" w:name="art123"/>
      <w:bookmarkEnd w:id="10"/>
      <w:bookmarkStart w:id="11" w:name="art122%252525252525252525252525252525253"/>
      <w:bookmarkEnd w:id="11"/>
      <w:bookmarkStart w:id="12" w:name="art122"/>
      <w:bookmarkEnd w:id="12"/>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Para o acompanhamento, gestão e fiscalização da execução do presente contrato, serão designados em momento posterior, antes da execução do objeto, agentes públicos gestor, gestor substituto, fiscal, e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3.2.13.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3.2.14.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ascii="Arial" w:hAnsi="Arial" w:cs="Arial" w:eastAsiaTheme="majorEastAsia"/>
          <w:b/>
          <w:bCs/>
          <w:lang w:val="pt-BR" w:eastAsia="pt-BR"/>
        </w:rPr>
      </w:pPr>
      <w:r>
        <w:rPr>
          <w:rFonts w:hint="default" w:ascii="Arial" w:hAnsi="Arial" w:cs="Arial" w:eastAsiaTheme="majorEastAsia"/>
          <w:b w:val="0"/>
          <w:bCs w:val="0"/>
          <w:lang w:val="en-US" w:eastAsia="pt-BR"/>
        </w:rPr>
        <w:t xml:space="preserve">6.1 </w:t>
      </w:r>
      <w:r>
        <w:rPr>
          <w:rFonts w:ascii="Arial" w:hAnsi="Arial" w:cs="Arial" w:eastAsiaTheme="majorEastAsia"/>
          <w:b w:val="0"/>
          <w:bCs w:val="0"/>
          <w:lang w:val="pt-BR" w:eastAsia="pt-BR"/>
        </w:rPr>
        <w:t xml:space="preserve">As notas fiscais deverão ser emitidas em nome do </w:t>
      </w:r>
      <w:r>
        <w:rPr>
          <w:rFonts w:ascii="Arial" w:hAnsi="Arial" w:cs="Arial" w:eastAsiaTheme="majorEastAsia"/>
          <w:b/>
          <w:bCs/>
          <w:lang w:val="pt-BR" w:eastAsia="pt-BR"/>
        </w:rPr>
        <w:t xml:space="preserve">FUNDO MUNICIPAL DE SAÚDE, CNPJ: 11.399.442/0001-79 </w:t>
      </w:r>
      <w:bookmarkStart w:id="13" w:name="__DdeLink__8609_3679100508"/>
      <w:r>
        <w:rPr>
          <w:rFonts w:ascii="Arial" w:hAnsi="Arial" w:cs="Arial" w:eastAsiaTheme="majorEastAsia"/>
          <w:b/>
          <w:bCs/>
          <w:lang w:val="pt-BR" w:eastAsia="pt-BR"/>
        </w:rPr>
        <w:t>–</w:t>
      </w:r>
      <w:bookmarkEnd w:id="13"/>
      <w:r>
        <w:rPr>
          <w:rFonts w:ascii="Arial" w:hAnsi="Arial" w:cs="Arial" w:eastAsiaTheme="majorEastAsia"/>
          <w:b/>
          <w:bCs/>
          <w:lang w:val="pt-BR" w:eastAsia="pt-BR"/>
        </w:rPr>
        <w:t xml:space="preserve"> AVENIDA ALBERTO BRAUNE, Nº 224 SALA 221 – CENTRO – NOVA FRIBURGO/RJ – CEP 28613-001;</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.2. </w:t>
      </w:r>
      <w:r>
        <w:rPr>
          <w:rFonts w:ascii="Arial" w:hAnsi="Arial" w:cs="Arial" w:eastAsiaTheme="majorEastAsia"/>
          <w:b w:val="0"/>
          <w:bCs w:val="0"/>
          <w:u w:val="single"/>
          <w:lang w:val="pt-BR" w:eastAsia="pt-BR"/>
        </w:rPr>
        <w:t>Liquidação da Despesa:</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.2.1. A liquidação será realizada pela Secretaria Municipal de Fazenda, a partir do cumprimento das obrigações elencadas neste Termo de Referência, em obediência ao Decreto nº 2493 de 07 de novembro de 2023, </w:t>
      </w:r>
      <w:r>
        <w:rPr>
          <w:rFonts w:ascii="Arial" w:hAnsi="Arial" w:cs="Arial" w:eastAsiaTheme="majorEastAsia"/>
          <w:b w:val="0"/>
          <w:bCs w:val="0"/>
          <w:lang w:val="pt-BR" w:eastAsia="pt-BR"/>
        </w:rPr>
        <w:fldChar w:fldCharType="begin"/>
      </w:r>
      <w:r>
        <w:rPr>
          <w:rFonts w:ascii="Arial" w:hAnsi="Arial" w:cs="Arial" w:eastAsiaTheme="majorEastAsia"/>
          <w:b w:val="0"/>
          <w:bCs w:val="0"/>
          <w:lang w:val="pt-BR" w:eastAsia="pt-BR"/>
        </w:rPr>
        <w:instrText xml:space="preserve"> HYPERLINK "https://pmnf.rj.gov.br/legislacao/index" </w:instrText>
      </w:r>
      <w:r>
        <w:rPr>
          <w:rFonts w:ascii="Arial" w:hAnsi="Arial" w:cs="Arial" w:eastAsiaTheme="majorEastAsia"/>
          <w:b w:val="0"/>
          <w:bCs w:val="0"/>
          <w:lang w:val="pt-BR" w:eastAsia="pt-BR"/>
        </w:rPr>
        <w:fldChar w:fldCharType="separate"/>
      </w:r>
      <w:r>
        <w:rPr>
          <w:rFonts w:ascii="Arial" w:hAnsi="Arial" w:cs="Arial" w:eastAsiaTheme="majorEastAsia"/>
          <w:b w:val="0"/>
          <w:bCs w:val="0"/>
          <w:lang w:val="pt-BR" w:eastAsia="pt-BR"/>
        </w:rPr>
        <w:t>https://pmnf.rj.gov.br/legislacao/index</w:t>
      </w:r>
      <w:r>
        <w:rPr>
          <w:rFonts w:ascii="Arial" w:hAnsi="Arial" w:cs="Arial" w:eastAsiaTheme="majorEastAsia"/>
          <w:b w:val="0"/>
          <w:bCs w:val="0"/>
          <w:lang w:val="pt-BR" w:eastAsia="pt-BR"/>
        </w:rPr>
        <w:fldChar w:fldCharType="end"/>
      </w:r>
      <w:r>
        <w:rPr>
          <w:rFonts w:ascii="Arial" w:hAnsi="Arial" w:cs="Arial" w:eastAsiaTheme="majorEastAsia"/>
          <w:b w:val="0"/>
          <w:bCs w:val="0"/>
          <w:lang w:val="pt-BR" w:eastAsia="pt-BR"/>
        </w:rPr>
        <w:t>;</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.2.2. Deverá ser observado no momento da emissão do Documento Fiscal e na liquidação da despesa os dispositivos do Decreto Municipal nº</w:t>
      </w:r>
      <w:r>
        <w:rPr>
          <w:rFonts w:hint="default" w:ascii="Arial" w:hAnsi="Arial" w:cs="Arial" w:eastAsiaTheme="majorEastAsia"/>
          <w:b w:val="0"/>
          <w:bCs w:val="0"/>
          <w:lang w:val="en-US" w:eastAsia="pt-BR"/>
        </w:rPr>
        <w:t xml:space="preserve"> </w:t>
      </w:r>
      <w:r>
        <w:rPr>
          <w:rFonts w:ascii="Arial" w:hAnsi="Arial" w:cs="Arial" w:eastAsiaTheme="majorEastAsia"/>
          <w:b w:val="0"/>
          <w:bCs w:val="0"/>
          <w:lang w:val="pt-BR" w:eastAsia="pt-BR"/>
        </w:rPr>
        <w:t>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fldChar w:fldCharType="begin"/>
      </w:r>
      <w:r>
        <w:rPr>
          <w:rFonts w:ascii="Arial" w:hAnsi="Arial" w:cs="Arial" w:eastAsiaTheme="majorEastAsia"/>
          <w:b w:val="0"/>
          <w:bCs w:val="0"/>
          <w:lang w:val="pt-BR" w:eastAsia="pt-BR"/>
        </w:rPr>
        <w:instrText xml:space="preserve"> HYPERLINK "https://pmnf.rj.gov.br/legislacao/index" </w:instrText>
      </w:r>
      <w:r>
        <w:rPr>
          <w:rFonts w:ascii="Arial" w:hAnsi="Arial" w:cs="Arial" w:eastAsiaTheme="majorEastAsia"/>
          <w:b w:val="0"/>
          <w:bCs w:val="0"/>
          <w:lang w:val="pt-BR" w:eastAsia="pt-BR"/>
        </w:rPr>
        <w:fldChar w:fldCharType="separate"/>
      </w:r>
      <w:r>
        <w:rPr>
          <w:rFonts w:ascii="Arial" w:hAnsi="Arial" w:cs="Arial" w:eastAsiaTheme="majorEastAsia"/>
          <w:b w:val="0"/>
          <w:bCs w:val="0"/>
          <w:lang w:val="pt-BR" w:eastAsia="pt-BR"/>
        </w:rPr>
        <w:t>https://pmnf.rj.gov.br/legislacao/index</w:t>
      </w:r>
      <w:r>
        <w:rPr>
          <w:rFonts w:ascii="Arial" w:hAnsi="Arial" w:cs="Arial" w:eastAsiaTheme="majorEastAsia"/>
          <w:b w:val="0"/>
          <w:bCs w:val="0"/>
          <w:lang w:val="pt-BR" w:eastAsia="pt-BR"/>
        </w:rPr>
        <w:fldChar w:fldCharType="end"/>
      </w:r>
      <w:r>
        <w:rPr>
          <w:rFonts w:ascii="Arial" w:hAnsi="Arial" w:cs="Arial" w:eastAsiaTheme="majorEastAsia"/>
          <w:b w:val="0"/>
          <w:bCs w:val="0"/>
          <w:lang w:val="pt-BR" w:eastAsia="pt-BR"/>
        </w:rPr>
        <w:t xml:space="preserve"> </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.3. </w:t>
      </w:r>
      <w:r>
        <w:rPr>
          <w:rFonts w:ascii="Arial" w:hAnsi="Arial" w:cs="Arial" w:eastAsiaTheme="majorEastAsia"/>
          <w:b w:val="0"/>
          <w:bCs w:val="0"/>
          <w:u w:val="single"/>
          <w:lang w:val="pt-BR" w:eastAsia="pt-BR"/>
        </w:rPr>
        <w:t>Pagamento da Despesa:</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 O pagamento será efetuado conforme estabelece o Decreto n° 2493 de 07 de novembro de 2023, desde que as certidões listadas abaixo estejam dentro da validade:</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.3.1.1. Negativa de Débitos Trabalhistas;</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.3.1.2. Fazenda Federal – Abrange as contribuições sociais;</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.3.1.3. FGTS;</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.3.1.4. PGE – Referente à Divida Ativa Estadual;</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.3.1.5. Municipal – Referente ao ISS e Dívida Ativa;</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.3.1.6. Estadual CND – Referente ao ICMS;</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 A Nota Fiscal deverá conter identificação do Banco, número da agência e da Conta-Corrente, para que possibilite o CONTRATANTE efetuar o pagamento do valor devido;</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.4.1.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.4.2.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pt-BR" w:eastAsia="pt-BR"/>
        </w:rPr>
      </w:pPr>
      <w:r>
        <w:rPr>
          <w:rFonts w:hint="default" w:ascii="Arial" w:hAnsi="Arial" w:cs="Arial" w:eastAsiaTheme="majorEastAsia"/>
          <w:b w:val="0"/>
          <w:bCs w:val="0"/>
          <w:lang w:val="en-US" w:eastAsia="pt-BR"/>
        </w:rPr>
        <w:t>6.4.3.</w:t>
      </w:r>
      <w:r>
        <w:rPr>
          <w:rFonts w:hint="default" w:ascii="Arial" w:hAnsi="Arial" w:cs="Arial" w:eastAsiaTheme="majorEastAsia"/>
          <w:b w:val="0"/>
          <w:bCs w:val="0"/>
          <w:lang w:val="pt-BR" w:eastAsia="pt-BR"/>
        </w:rPr>
        <w:t xml:space="preserve">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4" w:name="_Hlk114504069"/>
      <w:r>
        <w:rPr>
          <w:rStyle w:val="9"/>
          <w:rFonts w:ascii="Arial" w:hAnsi="Arial" w:eastAsia="Arial" w:cs="Arial"/>
        </w:rPr>
        <w:t>Lei nº 14.133, de 2021</w:t>
      </w:r>
      <w:bookmarkEnd w:id="14"/>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spacing w:line="323" w:lineRule="atLeast"/>
        <w:ind w:left="0" w:leftChars="0" w:firstLine="0"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w:t>
      </w:r>
    </w:p>
    <w:p>
      <w:pPr>
        <w:spacing w:line="323" w:lineRule="atLeast"/>
        <w:ind w:left="0" w:leftChars="0" w:firstLine="0"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 A contratação será atendida pela seguinte dotação:</w:t>
      </w:r>
    </w:p>
    <w:p>
      <w:pPr>
        <w:spacing w:line="323" w:lineRule="atLeast"/>
        <w:ind w:left="0" w:leftChars="0" w:firstLine="0" w:firstLineChars="0"/>
        <w:jc w:val="both"/>
        <w:rPr>
          <w:rFonts w:ascii="Arial" w:hAnsi="Arial" w:eastAsia="Verdana" w:cs="Arial"/>
          <w:sz w:val="22"/>
          <w:szCs w:val="22"/>
          <w:lang w:val="pt-PT" w:eastAsia="en-US" w:bidi="ar-SA"/>
        </w:rPr>
      </w:pP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3"/>
        <w:gridCol w:w="2725"/>
        <w:gridCol w:w="1760"/>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38" w:type="pct"/>
            <w:shd w:val="clear" w:color="auto" w:fill="D0CECE"/>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Unidades</w:t>
            </w:r>
          </w:p>
        </w:tc>
        <w:tc>
          <w:tcPr>
            <w:tcW w:w="1466" w:type="pct"/>
            <w:tcBorders>
              <w:right w:val="nil"/>
            </w:tcBorders>
            <w:shd w:val="clear" w:color="auto" w:fill="D0CECE"/>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 Trabalho</w:t>
            </w:r>
          </w:p>
        </w:tc>
        <w:tc>
          <w:tcPr>
            <w:tcW w:w="947" w:type="pct"/>
            <w:tcBorders>
              <w:right w:val="nil"/>
            </w:tcBorders>
            <w:shd w:val="clear" w:color="auto" w:fill="D0CECE"/>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 Recurso</w:t>
            </w:r>
          </w:p>
        </w:tc>
        <w:tc>
          <w:tcPr>
            <w:tcW w:w="1147" w:type="pct"/>
            <w:shd w:val="clear" w:color="auto" w:fill="D0CECE"/>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Natureza de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38" w:type="pct"/>
            <w:vAlign w:val="center"/>
          </w:tcPr>
          <w:p>
            <w:pPr>
              <w:pStyle w:val="19"/>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1466" w:type="pct"/>
            <w:tcBorders>
              <w:right w:val="nil"/>
            </w:tcBorders>
            <w:vAlign w:val="center"/>
          </w:tcPr>
          <w:p>
            <w:pPr>
              <w:pStyle w:val="19"/>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947" w:type="pct"/>
            <w:tcBorders>
              <w:right w:val="nil"/>
            </w:tcBorders>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1147" w:type="pct"/>
            <w:vAlign w:val="center"/>
          </w:tcPr>
          <w:p>
            <w:pPr>
              <w:pStyle w:val="19"/>
              <w:spacing w:line="276" w:lineRule="auto"/>
              <w:ind w:left="0" w:leftChars="0" w:firstLine="0" w:firstLineChars="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33.90.30.36</w:t>
            </w:r>
          </w:p>
        </w:tc>
      </w:tr>
    </w:tbl>
    <w:p>
      <w:pPr>
        <w:spacing w:line="323" w:lineRule="atLeast"/>
        <w:ind w:left="0" w:leftChars="0" w:firstLine="0" w:firstLineChars="0"/>
        <w:jc w:val="both"/>
        <w:rPr>
          <w:rFonts w:ascii="Arial" w:hAnsi="Arial" w:eastAsia="Verdana" w:cs="Arial"/>
          <w:sz w:val="22"/>
          <w:szCs w:val="22"/>
          <w:lang w:val="pt-PT" w:eastAsia="en-US" w:bidi="ar-SA"/>
        </w:rPr>
      </w:pPr>
    </w:p>
    <w:p>
      <w:pPr>
        <w:spacing w:line="323" w:lineRule="atLeast"/>
        <w:ind w:left="0" w:leftChars="0" w:firstLine="0"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.3. A dotação relativa aos exercícios financeiros subsequentes será indicada após aprovação da Lei Orçamentária respectiva e liberação dos créditos correspondentes, mediante apostilamento.</w:t>
      </w:r>
    </w:p>
    <w:p>
      <w:pPr>
        <w:pStyle w:val="34"/>
        <w:numPr>
          <w:numId w:val="0"/>
        </w:numPr>
        <w:tabs>
          <w:tab w:val="left" w:pos="284"/>
          <w:tab w:val="left" w:pos="993"/>
        </w:tabs>
        <w:spacing w:line="276" w:lineRule="auto"/>
        <w:ind w:leftChars="0"/>
        <w:rPr>
          <w:rFonts w:hint="default" w:ascii="Arial" w:hAnsi="Arial" w:cs="Arial"/>
          <w:sz w:val="22"/>
          <w:szCs w:val="22"/>
          <w:lang w:val="pt-BR"/>
        </w:rPr>
      </w:pP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pPr>
    <w:r>
      <w:rPr>
        <w:rFonts w:ascii="Arial" w:hAnsi="Arial" w:cs="Arial"/>
        <w:b/>
        <w:lang w:val="pt-BR"/>
      </w:rPr>
      <w:t xml:space="preserve">TERMO DE CONTRATO ADMINISTRATIVO </w:t>
    </w:r>
    <w:r>
      <w:rPr>
        <w:rFonts w:ascii="Arial" w:hAnsi="Arial" w:cs="Arial"/>
        <w:b/>
        <w:color w:val="FF0000"/>
        <w:lang w:val="pt-BR"/>
      </w:rPr>
      <w:t>Nº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CE621E"/>
    <w:rsid w:val="03A23935"/>
    <w:rsid w:val="04D76C60"/>
    <w:rsid w:val="08DE0058"/>
    <w:rsid w:val="11CC2ACE"/>
    <w:rsid w:val="1AF72D93"/>
    <w:rsid w:val="1FD12E07"/>
    <w:rsid w:val="23600665"/>
    <w:rsid w:val="397A184B"/>
    <w:rsid w:val="3C4D19A5"/>
    <w:rsid w:val="3C9967A2"/>
    <w:rsid w:val="3D361311"/>
    <w:rsid w:val="44180AC4"/>
    <w:rsid w:val="4E7B04E0"/>
    <w:rsid w:val="501F24D5"/>
    <w:rsid w:val="517A177E"/>
    <w:rsid w:val="54E977A2"/>
    <w:rsid w:val="5C237373"/>
    <w:rsid w:val="5E70794E"/>
    <w:rsid w:val="623C6820"/>
    <w:rsid w:val="655965EF"/>
    <w:rsid w:val="68532C20"/>
    <w:rsid w:val="742F6A92"/>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2</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2026-06-11T17:17:17Z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